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Ziekte en sterfte door hitte - Onvolledige aanpassing</w:t>
      </w:r>
    </w:p>
    <w:p>
      <w:pPr>
        <w:pStyle w:val="Warning"/>
      </w:pPr>
      <w:r>
        <w:t>Automatische vertaling</w:t>
      </w:r>
    </w:p>
    <w:tbl>
      <w:tblPr>
        <w:tblW w:type="auto" w:w="0"/>
        <w:tblLook w:firstColumn="1" w:firstRow="1" w:lastColumn="0" w:lastRow="0" w:noHBand="0" w:noVBand="1" w:val="04A0"/>
      </w:tblPr>
      <w:tblGrid>
        <w:gridCol w:w="4320"/>
        <w:gridCol w:w="4320"/>
      </w:tblGrid>
      <w:tr>
        <w:tc>
          <w:tcPr>
            <w:tcW w:type="dxa" w:w="6803"/>
          </w:tcPr>
          <w:p>
            <w:r>
              <w:t>Samenvatting van het beoordeelde risico:</w:t>
            </w:r>
          </w:p>
          <w:p>
            <w:r>
              <w:t>Sterfte en morbiditeit als gevolg van extreme hitte, onder andere gerelateerd aan hart- en vaatziekten en psychische aandoeningen; specifiek getroffen groepen zijn onder andere ouderen en mensen met obesitas [tabel 7.4]. Onvolledige aanpassing wordt gedefinieerd als onvolledige aanpassingsplanning en matige investeringen in gezondheidssystemen [figuur 7.9].</w:t>
            </w:r>
          </w:p>
          <w:p>
            <w:r>
              <w:t>Database id: 171 (</w:t>
            </w:r>
            <w:hyperlink r:id="rId10">
              <w:r>
                <w:rPr>
                  <w:u w:val="single"/>
                </w:rPr>
                <w:t>link</w:t>
              </w:r>
            </w:hyperlink>
            <w:r>
              <w:t>).</w:t>
            </w:r>
            <w:r>
              <w:t xml:space="preserve"> Scenario: Medium adaptation.</w:t>
            </w:r>
          </w:p>
          <w:p>
            <w:r>
              <w:t>Deze sintel is te vinden in de volgende figuur(s):</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Overgangen: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0.5</w:t>
            </w:r>
          </w:p>
        </w:tc>
        <w:tc>
          <w:tcPr>
            <w:tcW w:type="dxa" w:w="2362"/>
            <w:vMerge w:val="restart"/>
            <w:vAlign w:val="center"/>
          </w:tcPr>
          <w:p>
            <w:r>
              <w:rPr>
                <w:i/>
              </w:rPr>
              <w:t>very high confidence</w:t>
            </w:r>
          </w:p>
        </w:tc>
      </w:tr>
      <w:tr>
        <w:tc>
          <w:tcPr>
            <w:tcW w:type="dxa" w:w="787"/>
          </w:tcPr>
          <w:p>
            <w:r>
              <w:t>max</w:t>
            </w:r>
          </w:p>
        </w:tc>
        <w:tc>
          <w:tcPr>
            <w:tcW w:type="dxa" w:w="787"/>
          </w:tcPr>
          <w:p>
            <w:r>
              <w:t>0.8</w:t>
            </w:r>
          </w:p>
        </w:tc>
        <w:tc>
          <w:tcPr>
            <w:tcW w:type="dxa" w:w="2880"/>
            <w:vMerge/>
          </w:tcPr>
          <w:p/>
        </w:tc>
      </w:tr>
    </w:tbl>
    <w:p>
      <w:r>
        <w:t>(Informatie over deze overgang is nog niet beschikbaar)</w:t>
      </w:r>
    </w:p>
    <w:p>
      <w:pPr>
        <w:pStyle w:val="Heading1"/>
      </w:pPr>
      <w:r>
        <w:t>Overgangen: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1.5</w:t>
            </w:r>
          </w:p>
        </w:tc>
        <w:tc>
          <w:tcPr>
            <w:tcW w:type="dxa" w:w="2362"/>
            <w:vMerge w:val="restart"/>
            <w:vAlign w:val="center"/>
          </w:tcPr>
          <w:p>
            <w:r>
              <w:rPr>
                <w:i/>
              </w:rPr>
              <w:t>high confidence</w:t>
            </w:r>
          </w:p>
        </w:tc>
      </w:tr>
      <w:tr>
        <w:tc>
          <w:tcPr>
            <w:tcW w:type="dxa" w:w="787"/>
          </w:tcPr>
          <w:p>
            <w:r>
              <w:t>max</w:t>
            </w:r>
          </w:p>
        </w:tc>
        <w:tc>
          <w:tcPr>
            <w:tcW w:type="dxa" w:w="787"/>
          </w:tcPr>
          <w:p>
            <w:r>
              <w:t>2.0</w:t>
            </w:r>
          </w:p>
        </w:tc>
        <w:tc>
          <w:tcPr>
            <w:tcW w:type="dxa" w:w="2880"/>
            <w:vMerge/>
          </w:tcPr>
          <w:p/>
        </w:tc>
      </w:tr>
    </w:tbl>
    <w:p>
      <w:r>
        <w:t>(Informatie over deze overgang is nog niet beschikbaar)</w:t>
      </w:r>
    </w:p>
    <w:p>
      <w:pPr>
        <w:pStyle w:val="Heading1"/>
      </w:pPr>
      <w:r>
        <w:t>Bijkomende formatie</w:t>
      </w:r>
    </w:p>
    <w:p>
      <w:pPr>
        <w:pStyle w:val="Heading1"/>
      </w:pPr>
      <w:r>
        <w:t>Bronvermelding</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Referentie voor de brongegevens:</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Disclaimer:</w:t>
      </w:r>
    </w:p>
    <w:p>
      <w:r>
        <w:t>Het Embers Explorer project is niet gelieerd aan het IPCC, is niet goedgekeurd of geautoriseerd door het IPCC en is geen IPCC-product. De hierin gepresenteerde figuren zijn geen IPCC figuren, zijn niet onderworpen geweest aan formele IPCC beoordelingsprocessen en zijn niet goedgekeurd door het IPCC. Het IPCC is niet verantwoordelijk voor de nauwkeurigheid ervan.</w:t>
      </w:r>
    </w:p>
    <w:p>
      <w:r>
        <w:t>Er wordt echter alles aan gedaan om ervoor te zorgen dat gegevens die voortkomen uit IPCC-evaluaties hier accuraat worden weergegeven, met bronvermelding.</w:t>
      </w:r>
    </w:p>
    <w:p>
      <w:r>
        <w:t>Een archief van de database waarop deze app is gebaseerd is beschikbaar op Zenodo (</w:t>
      </w:r>
      <w:hyperlink r:id="rId16">
        <w:r>
          <w:rPr>
            <w:u w:val="single"/>
          </w:rPr>
          <w:t>doi.org/10.5281/zenodo.12626977</w:t>
        </w:r>
      </w:hyperlink>
      <w:r>
        <w:t>) onder de CC-BY 4.0 licentie. We hebben met het IPCC bevestigd dat deze gegevens op deze manier verspreid mogen worden.</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1"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