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Pérdida de biodiversidad terrestre y de agua dulce</w:t>
      </w:r>
    </w:p>
    <w:p>
      <w:pPr>
        <w:pStyle w:val="Warning"/>
      </w:pPr>
      <w:r>
        <w:t>Traducción automática</w:t>
      </w:r>
    </w:p>
    <w:tbl>
      <w:tblPr>
        <w:tblW w:type="auto" w:w="0"/>
        <w:tblLook w:firstColumn="1" w:firstRow="1" w:lastColumn="0" w:lastRow="0" w:noHBand="0" w:noVBand="1" w:val="04A0"/>
      </w:tblPr>
      <w:tblGrid>
        <w:gridCol w:w="4320"/>
        <w:gridCol w:w="4320"/>
      </w:tblGrid>
      <w:tr>
        <w:tc>
          <w:tcPr>
            <w:tcW w:type="dxa" w:w="6803"/>
          </w:tcPr>
          <w:p>
            <w:r>
              <w:t>Resumen del riesgo evaluado:</w:t>
            </w:r>
          </w:p>
          <w:p>
            <w:r>
              <w:t>Pérdidas de especies animales y vegetales de diferentes ecosistemas a escala mundial, con el consiguiente declive de la integridad, el funcionamiento y la resiliencia de los ecosistemas [figura 2.11].</w:t>
            </w:r>
          </w:p>
          <w:p>
            <w:r>
              <w:t>Database id: 70 (</w:t>
            </w:r>
            <w:hyperlink r:id="rId10">
              <w:r>
                <w:rPr>
                  <w:u w:val="single"/>
                </w:rPr>
                <w:t>link</w:t>
              </w:r>
            </w:hyperlink>
            <w:r>
              <w:t>).</w:t>
            </w:r>
          </w:p>
          <w:p>
            <w:r>
              <w:t>Esta brasa se encuentra en la(s) siguiente(s) figura(s):</w:t>
              <w:br/>
            </w:r>
            <w:r>
              <w:t xml:space="preserve">Figure 2.11 of AR6-WGII-Chapter2; </w:t>
            </w:r>
            <w:r>
              <w:t xml:space="preserve"> (as a rule, summaries are not listed here).</w:t>
            </w:r>
          </w:p>
          <w:p>
            <w:pPr>
              <w:pStyle w:val="Notes"/>
            </w:pPr>
            <w:r>
              <w:t>The ember diagram included in this document is based on the assessment provided in the IPCC report and supplementary material listed below, but it does not come from the IPCC; all additional information is provided in view of helping to understand this diagram and is also based on, or reproduced from, the same IPCC sources. Please read the disclaimer notice at the end of this document.</w:t>
            </w:r>
          </w:p>
        </w:tc>
        <w:tc>
          <w:tcPr>
            <w:tcW w:type="dxa" w:w="1701"/>
          </w:tcPr>
          <w:p>
            <w:r>
              <w:drawing>
                <wp:inline xmlns:a="http://schemas.openxmlformats.org/drawingml/2006/main" xmlns:pic="http://schemas.openxmlformats.org/drawingml/2006/picture">
                  <wp:extent cx="1425743" cy="288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5743" cy="2880000"/>
                          </a:xfrm>
                          <a:prstGeom prst="rect"/>
                        </pic:spPr>
                      </pic:pic>
                    </a:graphicData>
                  </a:graphic>
                </wp:inline>
              </w:drawing>
            </w:r>
          </w:p>
        </w:tc>
      </w:tr>
    </w:tbl>
    <w:p>
      <w:pPr>
        <w:pStyle w:val="Heading1"/>
      </w:pPr>
      <w:r>
        <w:t>Transiciones: undetectable to moderate</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0.6</w:t>
            </w:r>
          </w:p>
        </w:tc>
        <w:tc>
          <w:tcPr>
            <w:tcW w:type="dxa" w:w="2362"/>
            <w:vMerge w:val="restart"/>
            <w:vAlign w:val="center"/>
          </w:tcPr>
          <w:p>
            <w:r>
              <w:rPr>
                <w:i/>
              </w:rPr>
              <w:t>high confidence</w:t>
            </w:r>
          </w:p>
        </w:tc>
      </w:tr>
      <w:tr>
        <w:tc>
          <w:tcPr>
            <w:tcW w:type="dxa" w:w="787"/>
          </w:tcPr>
          <w:p>
            <w:r>
              <w:t>max</w:t>
            </w:r>
          </w:p>
        </w:tc>
        <w:tc>
          <w:tcPr>
            <w:tcW w:type="dxa" w:w="787"/>
          </w:tcPr>
          <w:p>
            <w:r>
              <w:t>1.0</w:t>
            </w:r>
          </w:p>
        </w:tc>
        <w:tc>
          <w:tcPr>
            <w:tcW w:type="dxa" w:w="2880"/>
            <w:vMerge/>
          </w:tcPr>
          <w:p/>
        </w:tc>
      </w:tr>
    </w:tbl>
    <w:p>
      <w:r>
        <w:t>Las observaciones revelaron que las primeras especies perdían &gt;50% de su área de distribución debido al cambio climático, lo que las situaba en la categoría de "en peligro" de la UICN. Se observaron numerosas extinciones de poblaciones locales en las especies más sensibles, y empieza a detectarse la extinción global de especies atribuible al cambio climático. [Tabla SM2.5, 2.4.2.2].</w:t>
      </w:r>
    </w:p>
    <w:p>
      <w:pPr>
        <w:pStyle w:val="Heading1"/>
      </w:pPr>
      <w:r>
        <w:t>Transiciones: moderate to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0.875</w:t>
            </w:r>
          </w:p>
        </w:tc>
        <w:tc>
          <w:tcPr>
            <w:tcW w:type="dxa" w:w="2362"/>
            <w:vMerge w:val="restart"/>
            <w:vAlign w:val="center"/>
          </w:tcPr>
          <w:p>
            <w:r>
              <w:rPr>
                <w:i/>
              </w:rPr>
              <w:t>medium confidence</w:t>
            </w:r>
          </w:p>
        </w:tc>
      </w:tr>
      <w:tr>
        <w:tc>
          <w:tcPr>
            <w:tcW w:type="dxa" w:w="787"/>
          </w:tcPr>
          <w:p>
            <w:r>
              <w:t>max</w:t>
            </w:r>
          </w:p>
        </w:tc>
        <w:tc>
          <w:tcPr>
            <w:tcW w:type="dxa" w:w="787"/>
          </w:tcPr>
          <w:p>
            <w:r>
              <w:t>2.025</w:t>
            </w:r>
          </w:p>
        </w:tc>
        <w:tc>
          <w:tcPr>
            <w:tcW w:type="dxa" w:w="2880"/>
            <w:vMerge/>
          </w:tcPr>
          <w:p/>
        </w:tc>
      </w:tr>
    </w:tbl>
    <w:p>
      <w:r>
        <w:t>En torno a 1,5 °C, se sabe que unos pocos taxones, por su biología básica y sus requisitos de hábitat, corren un alto riesgo de extinción (en peligro). En un número cada vez mayor de taxones, se prevé que más del 10% de las especies alcancen un alto riesgo de extinción (esto es 1000 veces la tasa natural de fondo de extinción). [Tabla 2.5]</w:t>
      </w:r>
    </w:p>
    <w:p>
      <w:pPr>
        <w:pStyle w:val="Heading1"/>
      </w:pPr>
      <w:r>
        <w:t>Transiciones: high to very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1.6</w:t>
            </w:r>
          </w:p>
        </w:tc>
        <w:tc>
          <w:tcPr>
            <w:tcW w:type="dxa" w:w="2362"/>
            <w:vMerge w:val="restart"/>
            <w:vAlign w:val="center"/>
          </w:tcPr>
          <w:p>
            <w:r>
              <w:rPr>
                <w:i/>
              </w:rPr>
              <w:t>medium confidence</w:t>
            </w:r>
          </w:p>
        </w:tc>
      </w:tr>
      <w:tr>
        <w:tc>
          <w:tcPr>
            <w:tcW w:type="dxa" w:w="787"/>
          </w:tcPr>
          <w:p>
            <w:r>
              <w:t>max</w:t>
            </w:r>
          </w:p>
        </w:tc>
        <w:tc>
          <w:tcPr>
            <w:tcW w:type="dxa" w:w="787"/>
          </w:tcPr>
          <w:p>
            <w:r>
              <w:t>2.55</w:t>
            </w:r>
          </w:p>
        </w:tc>
        <w:tc>
          <w:tcPr>
            <w:tcW w:type="dxa" w:w="2880"/>
            <w:vMerge/>
          </w:tcPr>
          <w:p/>
        </w:tc>
      </w:tr>
    </w:tbl>
    <w:p>
      <w:r>
        <w:t>En un número creciente de taxones, se prevé que más del 20% de las especies alcancen un alto riesgo de extinción. En el peor escenario posible (percentil 10 de los modelos), algunos de los taxones muestran &gt;50% de las especies en alto riesgo de extinción [Tabla 2.5, Tabla SM2.5, 2.5.1.3].</w:t>
      </w:r>
    </w:p>
    <w:p>
      <w:pPr>
        <w:pStyle w:val="Heading1"/>
      </w:pPr>
      <w:r>
        <w:t>Información complementaria</w:t>
      </w:r>
    </w:p>
    <w:p>
      <w:r>
        <w:t>No hemos incluido los valores medianos, proporcionados en SM2.5, porque éstos son siempre iguales a la media de mín y máx: no tiene ningún efecto sobre el diagrama. Las afirmaciones proporcionadas para explicar cada transición se atribuyen a la mediana (es decir, a la mitad de la transición).</w:t>
      </w:r>
    </w:p>
    <w:p>
      <w:pPr>
        <w:pStyle w:val="Heading1"/>
      </w:pPr>
      <w:r>
        <w:t>Referencia de los datos de origen:</w:t>
      </w:r>
    </w:p>
    <w:p>
      <w:r>
        <w:t xml:space="preserve">Parmesan, C., M.D.Morecroft, Y.Trisurat, R.Adrian, G.Z.Anshari, A.Arneth, Q.Gao, P.Gonzalez, R.Harris, J.Price, N. Stevens, and G.H. Talukdarr, 2022: Terrestrial and freshwater ecosystems and their services.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Cambridge University Press, Cambridge, UK and New York, NY, USA, pp. 197-377. </w:t>
      </w:r>
      <w:hyperlink r:id="rId11">
        <w:r>
          <w:rPr>
            <w:u w:val="single"/>
          </w:rPr>
          <w:t>https://doi.org/10.1017/9781009325844.004</w:t>
        </w:r>
      </w:hyperlink>
      <w:r>
        <w:br/>
        <w:t xml:space="preserve">Alternative direct download: </w:t>
      </w:r>
      <w:hyperlink r:id="rId12">
        <w:r>
          <w:rPr>
            <w:u w:val="single"/>
          </w:rPr>
          <w:t>www.ipcc.ch/report/ar6/wg2/downloads/report/IPCC_AR6_WGII_Chapter02.pdf</w:t>
        </w:r>
      </w:hyperlink>
    </w:p>
    <w:p>
      <w:r>
        <w:t xml:space="preserve">Parmesan, C., M.D.Morecroft, Y.Trisurat, R.Adrian, G.Z.Anshari, A.Arneth, Q.Gao, P.Gonzalez, R.Harris, J.Price, N. Stevens, and G.H. Talukdarr, 2022: Terrestrial and freshwater ecosystems and their services Supplementary Material.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url: </w:t>
      </w:r>
      <w:hyperlink r:id="rId13">
        <w:r>
          <w:rPr>
            <w:u w:val="single"/>
          </w:rPr>
          <w:t>www.ipcc.ch/report/ar6/wg2/downloads/report/IPCC_AR6_WGII_Chapter02_SM.pdf</w:t>
        </w:r>
      </w:hyperlink>
    </w:p>
    <w:p>
      <w:pPr>
        <w:pStyle w:val="Heading1"/>
      </w:pPr>
      <w:r>
        <w:t>Descargo de responsabilidad:</w:t>
      </w:r>
    </w:p>
    <w:p>
      <w:r>
        <w:t>El proyecto Embers Explorer no está afiliado al IPCC, no está aprobado ni autorizado por el IPCC y no es un producto del IPCC. Las figuras aquí presentadas no son figuras del IPCC, no han sido sometidas a procesos formales de revisión del IPCC y no han sido aprobadas por el IPCC. El IPCC no asume responsabilidad alguna por su exactitud.</w:t>
      </w:r>
    </w:p>
    <w:p>
      <w:r>
        <w:t>No obstante, se hace todo lo posible para garantizar que los datos resultantes de las evaluaciones del IPCC se representen aquí con exactitud, con la debida referencia a las fuentes.</w:t>
      </w:r>
    </w:p>
    <w:p>
      <w:r>
        <w:t>Un archivo de la base de datos en la que se basa esta aplicación está disponible en Zenodo (</w:t>
      </w:r>
      <w:hyperlink r:id="rId14">
        <w:r>
          <w:rPr>
            <w:u w:val="single"/>
          </w:rPr>
          <w:t>doi.org/10.5281/zenodo.12626977</w:t>
        </w:r>
      </w:hyperlink>
      <w:r>
        <w:t>) bajo licencia CC-BY 4.0. Hemos confirmado con el IPCC que estos datos pueden distribuirse de esta forma.</w:t>
      </w:r>
    </w:p>
    <w:p>
      <w:r>
        <w:t>[This file was generated by the Embers Explorer on 2026-10-21.]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80" w:after="100"/>
    </w:pPr>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s">
    <w:name w:val="Notes"/>
    <w:rPr>
      <w:color w:val="505050"/>
      <w:sz w:val="18"/>
    </w:rPr>
  </w:style>
  <w:style w:type="paragraph" w:customStyle="1" w:styleId="Warning">
    <w:name w:val="Warning"/>
    <w:rPr>
      <w:color w:val="C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climrisk.org/cree/ember/70" TargetMode="External"/><Relationship Id="rId11" Type="http://schemas.openxmlformats.org/officeDocument/2006/relationships/hyperlink" Target="https://doi.org/10.1017/9781009325844.004" TargetMode="External"/><Relationship Id="rId12" Type="http://schemas.openxmlformats.org/officeDocument/2006/relationships/hyperlink" Target="https://www.ipcc.ch/report/ar6/wg2/downloads/report/IPCC_AR6_WGII_Chapter02.pdf" TargetMode="External"/><Relationship Id="rId13" Type="http://schemas.openxmlformats.org/officeDocument/2006/relationships/hyperlink" Target="https://www.ipcc.ch/report/ar6/wg2/downloads/report/IPCC_AR6_WGII_Chapter02_SM.pdf" TargetMode="External"/><Relationship Id="rId14" Type="http://schemas.openxmlformats.org/officeDocument/2006/relationships/hyperlink" Target="https://doi.org/10.5281/zenodo.12626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