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Morbilidad y mortalidad por calor - Adaptación incompleta</w:t>
      </w:r>
    </w:p>
    <w:p>
      <w:pPr>
        <w:pStyle w:val="Warning"/>
      </w:pPr>
      <w:r>
        <w:t>Traducción automática</w:t>
      </w:r>
    </w:p>
    <w:tbl>
      <w:tblPr>
        <w:tblW w:type="auto" w:w="0"/>
        <w:tblLook w:firstColumn="1" w:firstRow="1" w:lastColumn="0" w:lastRow="0" w:noHBand="0" w:noVBand="1" w:val="04A0"/>
      </w:tblPr>
      <w:tblGrid>
        <w:gridCol w:w="4320"/>
        <w:gridCol w:w="4320"/>
      </w:tblGrid>
      <w:tr>
        <w:tc>
          <w:tcPr>
            <w:tcW w:type="dxa" w:w="6803"/>
          </w:tcPr>
          <w:p>
            <w:r>
              <w:t>Resumen del riesgo evaluado:</w:t>
            </w:r>
          </w:p>
          <w:p>
            <w:r>
              <w:t>Mortalidad y morbilidad vinculadas al calor extremo, incluidas las relacionadas con enfermedades cardiovasculares y mentales; entre los grupos específicamente afectados se encuentran los ancianos y las personas con obesidad [Tabla 7.4]. La adaptación incompleta se define como una planificación de la adaptación incompleta y una inversión moderada en sistemas sanitarios [figura 7.9].</w:t>
            </w:r>
          </w:p>
          <w:p>
            <w:r>
              <w:t>Database id: 171 (</w:t>
            </w:r>
            <w:hyperlink r:id="rId10">
              <w:r>
                <w:rPr>
                  <w:u w:val="single"/>
                </w:rPr>
                <w:t>link</w:t>
              </w:r>
            </w:hyperlink>
            <w:r>
              <w:t>).</w:t>
            </w:r>
            <w:r>
              <w:t xml:space="preserve"> Scenario: Medium adaptation.</w:t>
            </w:r>
          </w:p>
          <w:p>
            <w:r>
              <w:t>Esta brasa se encuentra en la(s) siguiente(s) figura(s):</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Transiciones: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0.5</w:t>
            </w:r>
          </w:p>
        </w:tc>
        <w:tc>
          <w:tcPr>
            <w:tcW w:type="dxa" w:w="2362"/>
            <w:vMerge w:val="restart"/>
            <w:vAlign w:val="center"/>
          </w:tcPr>
          <w:p>
            <w:r>
              <w:rPr>
                <w:i/>
              </w:rPr>
              <w:t>very high confidence</w:t>
            </w:r>
          </w:p>
        </w:tc>
      </w:tr>
      <w:tr>
        <w:tc>
          <w:tcPr>
            <w:tcW w:type="dxa" w:w="787"/>
          </w:tcPr>
          <w:p>
            <w:r>
              <w:t>max</w:t>
            </w:r>
          </w:p>
        </w:tc>
        <w:tc>
          <w:tcPr>
            <w:tcW w:type="dxa" w:w="787"/>
          </w:tcPr>
          <w:p>
            <w:r>
              <w:t>0.8</w:t>
            </w:r>
          </w:p>
        </w:tc>
        <w:tc>
          <w:tcPr>
            <w:tcW w:type="dxa" w:w="2880"/>
            <w:vMerge/>
          </w:tcPr>
          <w:p/>
        </w:tc>
      </w:tr>
    </w:tbl>
    <w:p>
      <w:r>
        <w:t>(Aún no se dispone de información sobre esta transición)</w:t>
      </w:r>
    </w:p>
    <w:p>
      <w:pPr>
        <w:pStyle w:val="Heading1"/>
      </w:pPr>
      <w:r>
        <w:t>Transiciones: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1.5</w:t>
            </w:r>
          </w:p>
        </w:tc>
        <w:tc>
          <w:tcPr>
            <w:tcW w:type="dxa" w:w="2362"/>
            <w:vMerge w:val="restart"/>
            <w:vAlign w:val="center"/>
          </w:tcPr>
          <w:p>
            <w:r>
              <w:rPr>
                <w:i/>
              </w:rPr>
              <w:t>high confidence</w:t>
            </w:r>
          </w:p>
        </w:tc>
      </w:tr>
      <w:tr>
        <w:tc>
          <w:tcPr>
            <w:tcW w:type="dxa" w:w="787"/>
          </w:tcPr>
          <w:p>
            <w:r>
              <w:t>max</w:t>
            </w:r>
          </w:p>
        </w:tc>
        <w:tc>
          <w:tcPr>
            <w:tcW w:type="dxa" w:w="787"/>
          </w:tcPr>
          <w:p>
            <w:r>
              <w:t>2.0</w:t>
            </w:r>
          </w:p>
        </w:tc>
        <w:tc>
          <w:tcPr>
            <w:tcW w:type="dxa" w:w="2880"/>
            <w:vMerge/>
          </w:tcPr>
          <w:p/>
        </w:tc>
      </w:tr>
    </w:tbl>
    <w:p>
      <w:r>
        <w:t>(Aún no se dispone de información sobre esta transición)</w:t>
      </w:r>
    </w:p>
    <w:p>
      <w:pPr>
        <w:pStyle w:val="Heading1"/>
      </w:pPr>
      <w:r>
        <w:t>Información complementaria</w:t>
      </w:r>
    </w:p>
    <w:p>
      <w:pPr>
        <w:pStyle w:val="Heading1"/>
      </w:pPr>
      <w:r>
        <w:t>Fuente de referencia</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Referencia de los datos de origen:</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Descargo de responsabilidad:</w:t>
      </w:r>
    </w:p>
    <w:p>
      <w:r>
        <w:t>El proyecto Embers Explorer no está afiliado al IPCC, no está aprobado ni autorizado por el IPCC y no es un producto del IPCC. Las figuras aquí presentadas no son figuras del IPCC, no han sido sometidas a procesos formales de revisión del IPCC y no han sido aprobadas por el IPCC. El IPCC no asume responsabilidad alguna por su exactitud.</w:t>
      </w:r>
    </w:p>
    <w:p>
      <w:r>
        <w:t>No obstante, se hace todo lo posible para garantizar que los datos resultantes de las evaluaciones del IPCC se representen aquí con exactitud, con la debida referencia a las fuentes.</w:t>
      </w:r>
    </w:p>
    <w:p>
      <w:r>
        <w:t>Un archivo de la base de datos en la que se basa esta aplicación está disponible en Zenodo (</w:t>
      </w:r>
      <w:hyperlink r:id="rId16">
        <w:r>
          <w:rPr>
            <w:u w:val="single"/>
          </w:rPr>
          <w:t>doi.org/10.5281/zenodo.12626977</w:t>
        </w:r>
      </w:hyperlink>
      <w:r>
        <w:t>) bajo licencia CC-BY 4.0. Hemos confirmado con el IPCC que estos datos pueden distribuirse de esta forma.</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1"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